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40" w:rsidRDefault="00302C40" w:rsidP="00302C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國立彰化師範大學科學教育研究所</w:t>
      </w:r>
    </w:p>
    <w:p w:rsidR="00981948" w:rsidRDefault="0015535E" w:rsidP="00302C40">
      <w:pPr>
        <w:jc w:val="center"/>
        <w:rPr>
          <w:b/>
          <w:sz w:val="32"/>
          <w:szCs w:val="32"/>
        </w:rPr>
      </w:pPr>
      <w:r w:rsidRPr="00302C40">
        <w:rPr>
          <w:rFonts w:hint="eastAsia"/>
          <w:b/>
          <w:sz w:val="32"/>
          <w:szCs w:val="32"/>
        </w:rPr>
        <w:t>博士班資格考</w:t>
      </w:r>
      <w:r w:rsidR="00AF7FA5" w:rsidRPr="00302C40">
        <w:rPr>
          <w:rFonts w:hint="eastAsia"/>
          <w:b/>
          <w:sz w:val="32"/>
          <w:szCs w:val="32"/>
        </w:rPr>
        <w:t>規定</w:t>
      </w:r>
    </w:p>
    <w:p w:rsidR="00C815F2" w:rsidRDefault="00C815F2" w:rsidP="00981948">
      <w:pPr>
        <w:jc w:val="right"/>
      </w:pPr>
      <w:r w:rsidRPr="00C815F2">
        <w:rPr>
          <w:rFonts w:hint="eastAsia"/>
        </w:rPr>
        <w:t>102</w:t>
      </w:r>
      <w:r w:rsidRPr="00C815F2">
        <w:rPr>
          <w:rFonts w:hint="eastAsia"/>
        </w:rPr>
        <w:t>年</w:t>
      </w:r>
      <w:r>
        <w:rPr>
          <w:rFonts w:hint="eastAsia"/>
        </w:rPr>
        <w:t>0</w:t>
      </w:r>
      <w:r w:rsidRPr="00C815F2">
        <w:rPr>
          <w:rFonts w:hint="eastAsia"/>
        </w:rPr>
        <w:t>5</w:t>
      </w:r>
      <w:r w:rsidRPr="00C815F2">
        <w:rPr>
          <w:rFonts w:hint="eastAsia"/>
        </w:rPr>
        <w:t>月</w:t>
      </w:r>
      <w:r w:rsidRPr="00C815F2">
        <w:rPr>
          <w:rFonts w:hint="eastAsia"/>
        </w:rPr>
        <w:t>15</w:t>
      </w:r>
      <w:r w:rsidRPr="00C815F2">
        <w:rPr>
          <w:rFonts w:hint="eastAsia"/>
        </w:rPr>
        <w:t>日所</w:t>
      </w:r>
      <w:proofErr w:type="gramStart"/>
      <w:r w:rsidRPr="00C815F2">
        <w:rPr>
          <w:rFonts w:hint="eastAsia"/>
        </w:rPr>
        <w:t>務</w:t>
      </w:r>
      <w:proofErr w:type="gramEnd"/>
      <w:r w:rsidRPr="00C815F2">
        <w:rPr>
          <w:rFonts w:hint="eastAsia"/>
        </w:rPr>
        <w:t>會議通過</w:t>
      </w:r>
    </w:p>
    <w:p w:rsidR="00C815F2" w:rsidRDefault="00C815F2" w:rsidP="00981948">
      <w:pPr>
        <w:jc w:val="right"/>
      </w:pPr>
      <w:r w:rsidRPr="00C815F2">
        <w:rPr>
          <w:rFonts w:hint="eastAsia"/>
        </w:rPr>
        <w:t>102</w:t>
      </w:r>
      <w:r w:rsidRPr="00C815F2">
        <w:rPr>
          <w:rFonts w:hint="eastAsia"/>
        </w:rPr>
        <w:t>年</w:t>
      </w:r>
      <w:r>
        <w:rPr>
          <w:rFonts w:hint="eastAsia"/>
        </w:rPr>
        <w:t>0</w:t>
      </w:r>
      <w:r w:rsidRPr="00C815F2">
        <w:rPr>
          <w:rFonts w:hint="eastAsia"/>
        </w:rPr>
        <w:t>9</w:t>
      </w:r>
      <w:r w:rsidRPr="00C815F2">
        <w:rPr>
          <w:rFonts w:hint="eastAsia"/>
        </w:rPr>
        <w:t>月</w:t>
      </w:r>
      <w:r w:rsidRPr="00C815F2">
        <w:rPr>
          <w:rFonts w:hint="eastAsia"/>
        </w:rPr>
        <w:t>25</w:t>
      </w:r>
      <w:r w:rsidRPr="00C815F2">
        <w:rPr>
          <w:rFonts w:hint="eastAsia"/>
        </w:rPr>
        <w:t>日所</w:t>
      </w:r>
      <w:proofErr w:type="gramStart"/>
      <w:r w:rsidRPr="00C815F2">
        <w:rPr>
          <w:rFonts w:hint="eastAsia"/>
        </w:rPr>
        <w:t>務</w:t>
      </w:r>
      <w:proofErr w:type="gramEnd"/>
      <w:r w:rsidRPr="00C815F2">
        <w:rPr>
          <w:rFonts w:hint="eastAsia"/>
        </w:rPr>
        <w:t>會議修正通過</w:t>
      </w:r>
    </w:p>
    <w:p w:rsidR="00981948" w:rsidRDefault="00981948" w:rsidP="00981948">
      <w:pPr>
        <w:jc w:val="right"/>
      </w:pPr>
      <w:r w:rsidRPr="00981948">
        <w:rPr>
          <w:rFonts w:hint="eastAsia"/>
        </w:rPr>
        <w:t>103</w:t>
      </w:r>
      <w:r w:rsidRPr="00981948">
        <w:rPr>
          <w:rFonts w:hint="eastAsia"/>
        </w:rPr>
        <w:t>年</w:t>
      </w:r>
      <w:r>
        <w:rPr>
          <w:rFonts w:hint="eastAsia"/>
        </w:rPr>
        <w:t>0</w:t>
      </w:r>
      <w:r w:rsidRPr="00981948">
        <w:rPr>
          <w:rFonts w:hint="eastAsia"/>
        </w:rPr>
        <w:t>6</w:t>
      </w:r>
      <w:r w:rsidRPr="00981948">
        <w:rPr>
          <w:rFonts w:hint="eastAsia"/>
        </w:rPr>
        <w:t>月</w:t>
      </w:r>
      <w:r w:rsidRPr="00981948">
        <w:rPr>
          <w:rFonts w:hint="eastAsia"/>
        </w:rPr>
        <w:t>10</w:t>
      </w:r>
      <w:r w:rsidRPr="00981948">
        <w:rPr>
          <w:rFonts w:hint="eastAsia"/>
        </w:rPr>
        <w:t>日</w:t>
      </w:r>
      <w:r w:rsidRPr="00302C40">
        <w:rPr>
          <w:rFonts w:hint="eastAsia"/>
        </w:rPr>
        <w:t>所</w:t>
      </w:r>
      <w:proofErr w:type="gramStart"/>
      <w:r w:rsidRPr="00302C40">
        <w:rPr>
          <w:rFonts w:hint="eastAsia"/>
        </w:rPr>
        <w:t>務</w:t>
      </w:r>
      <w:proofErr w:type="gramEnd"/>
      <w:r w:rsidRPr="00302C40">
        <w:rPr>
          <w:rFonts w:hint="eastAsia"/>
        </w:rPr>
        <w:t>會議修正通過</w:t>
      </w:r>
    </w:p>
    <w:p w:rsidR="00C815F2" w:rsidRPr="00302C40" w:rsidRDefault="00C815F2" w:rsidP="00C815F2">
      <w:pPr>
        <w:jc w:val="right"/>
        <w:rPr>
          <w:sz w:val="32"/>
          <w:szCs w:val="32"/>
        </w:rPr>
      </w:pPr>
      <w:r w:rsidRPr="00302C40"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  <w:r w:rsidRPr="00302C40">
        <w:rPr>
          <w:rFonts w:hint="eastAsia"/>
        </w:rPr>
        <w:t>所</w:t>
      </w:r>
      <w:proofErr w:type="gramStart"/>
      <w:r w:rsidRPr="00302C40">
        <w:rPr>
          <w:rFonts w:hint="eastAsia"/>
        </w:rPr>
        <w:t>務</w:t>
      </w:r>
      <w:proofErr w:type="gramEnd"/>
      <w:r w:rsidRPr="00302C40">
        <w:rPr>
          <w:rFonts w:hint="eastAsia"/>
        </w:rPr>
        <w:t>會議修正通過</w:t>
      </w:r>
    </w:p>
    <w:p w:rsidR="00707616" w:rsidRDefault="00206DA4" w:rsidP="00981948">
      <w:pPr>
        <w:jc w:val="right"/>
      </w:pPr>
      <w:r w:rsidRPr="00302C40">
        <w:rPr>
          <w:rFonts w:hint="eastAsia"/>
        </w:rPr>
        <w:t>10</w:t>
      </w:r>
      <w:r w:rsidR="00637859" w:rsidRPr="00302C40">
        <w:rPr>
          <w:rFonts w:hint="eastAsia"/>
        </w:rPr>
        <w:t>4</w:t>
      </w:r>
      <w:r w:rsidR="00981948">
        <w:rPr>
          <w:rFonts w:hint="eastAsia"/>
        </w:rPr>
        <w:t>年</w:t>
      </w:r>
      <w:r w:rsidR="00637859" w:rsidRPr="00302C40">
        <w:rPr>
          <w:rFonts w:hint="eastAsia"/>
        </w:rPr>
        <w:t>11</w:t>
      </w:r>
      <w:r w:rsidR="00981948">
        <w:rPr>
          <w:rFonts w:hint="eastAsia"/>
        </w:rPr>
        <w:t>月</w:t>
      </w:r>
      <w:r w:rsidR="00637859" w:rsidRPr="00302C40">
        <w:rPr>
          <w:rFonts w:hint="eastAsia"/>
        </w:rPr>
        <w:t>12</w:t>
      </w:r>
      <w:r w:rsidR="00981948">
        <w:rPr>
          <w:rFonts w:hint="eastAsia"/>
        </w:rPr>
        <w:t>日</w:t>
      </w:r>
      <w:r w:rsidRPr="00302C40">
        <w:rPr>
          <w:rFonts w:hint="eastAsia"/>
        </w:rPr>
        <w:t>所</w:t>
      </w:r>
      <w:proofErr w:type="gramStart"/>
      <w:r w:rsidRPr="00302C40">
        <w:rPr>
          <w:rFonts w:hint="eastAsia"/>
        </w:rPr>
        <w:t>務</w:t>
      </w:r>
      <w:proofErr w:type="gramEnd"/>
      <w:r w:rsidRPr="00302C40">
        <w:rPr>
          <w:rFonts w:hint="eastAsia"/>
        </w:rPr>
        <w:t>會議修正</w:t>
      </w:r>
      <w:r w:rsidR="00CC4A8C" w:rsidRPr="00302C40">
        <w:rPr>
          <w:rFonts w:hint="eastAsia"/>
        </w:rPr>
        <w:t>通過</w:t>
      </w:r>
    </w:p>
    <w:p w:rsidR="00922737" w:rsidRDefault="00922737" w:rsidP="00981948">
      <w:pPr>
        <w:jc w:val="right"/>
      </w:pPr>
      <w:r>
        <w:rPr>
          <w:rFonts w:hint="eastAsia"/>
        </w:rPr>
        <w:t>106</w:t>
      </w:r>
      <w:r>
        <w:rPr>
          <w:rFonts w:hint="eastAsia"/>
        </w:rPr>
        <w:t>年</w:t>
      </w:r>
      <w:r w:rsidRPr="00302C40">
        <w:rPr>
          <w:rFonts w:hint="eastAsia"/>
        </w:rPr>
        <w:t>11</w:t>
      </w:r>
      <w:r>
        <w:rPr>
          <w:rFonts w:hint="eastAsia"/>
        </w:rPr>
        <w:t>月</w:t>
      </w:r>
      <w:r w:rsidRPr="00302C40">
        <w:rPr>
          <w:rFonts w:hint="eastAsia"/>
        </w:rPr>
        <w:t>12</w:t>
      </w:r>
      <w:r>
        <w:rPr>
          <w:rFonts w:hint="eastAsia"/>
        </w:rPr>
        <w:t>日</w:t>
      </w:r>
      <w:r w:rsidRPr="00302C40">
        <w:rPr>
          <w:rFonts w:hint="eastAsia"/>
        </w:rPr>
        <w:t>所</w:t>
      </w:r>
      <w:proofErr w:type="gramStart"/>
      <w:r w:rsidRPr="00302C40">
        <w:rPr>
          <w:rFonts w:hint="eastAsia"/>
        </w:rPr>
        <w:t>務</w:t>
      </w:r>
      <w:proofErr w:type="gramEnd"/>
      <w:r w:rsidRPr="00302C40">
        <w:rPr>
          <w:rFonts w:hint="eastAsia"/>
        </w:rPr>
        <w:t>會議</w:t>
      </w:r>
      <w:r>
        <w:rPr>
          <w:rFonts w:hint="eastAsia"/>
        </w:rPr>
        <w:t>討論</w:t>
      </w:r>
      <w:r w:rsidRPr="00302C40">
        <w:rPr>
          <w:rFonts w:hint="eastAsia"/>
        </w:rPr>
        <w:t>通過</w:t>
      </w:r>
    </w:p>
    <w:p w:rsidR="0098584C" w:rsidRPr="00302C40" w:rsidRDefault="0098584C" w:rsidP="0098584C">
      <w:pPr>
        <w:wordWrap w:val="0"/>
        <w:jc w:val="right"/>
        <w:rPr>
          <w:sz w:val="32"/>
          <w:szCs w:val="32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日所務會議修正通過</w:t>
      </w:r>
    </w:p>
    <w:p w:rsidR="0015535E" w:rsidRPr="009E7B22" w:rsidRDefault="0015535E" w:rsidP="0015535E">
      <w:pPr>
        <w:pStyle w:val="a3"/>
        <w:numPr>
          <w:ilvl w:val="0"/>
          <w:numId w:val="1"/>
        </w:numPr>
        <w:ind w:leftChars="0" w:left="567" w:hanging="567"/>
      </w:pPr>
      <w:r w:rsidRPr="009E7B22">
        <w:t>考試範圍與命題</w:t>
      </w:r>
      <w:r w:rsidR="00CC4A8C">
        <w:rPr>
          <w:rFonts w:hint="eastAsia"/>
        </w:rPr>
        <w:t>（本所資格考</w:t>
      </w:r>
      <w:r w:rsidR="00922737">
        <w:rPr>
          <w:rFonts w:hint="eastAsia"/>
        </w:rPr>
        <w:t>核科目</w:t>
      </w:r>
      <w:r w:rsidR="00CC4A8C">
        <w:rPr>
          <w:rFonts w:hint="eastAsia"/>
        </w:rPr>
        <w:t>包含二大科～科學教育專論及科學教育研究法）</w:t>
      </w:r>
    </w:p>
    <w:p w:rsidR="0015535E" w:rsidRDefault="0015535E" w:rsidP="0015535E">
      <w:pPr>
        <w:pStyle w:val="a3"/>
        <w:numPr>
          <w:ilvl w:val="0"/>
          <w:numId w:val="2"/>
        </w:numPr>
        <w:ind w:leftChars="0"/>
      </w:pPr>
      <w:r w:rsidRPr="009E7B22">
        <w:t>科學教育專論</w:t>
      </w:r>
      <w:r>
        <w:rPr>
          <w:rFonts w:ascii="標楷體" w:hAnsi="標楷體" w:hint="eastAsia"/>
        </w:rPr>
        <w:t>(</w:t>
      </w:r>
      <w:r w:rsidR="00CC4A8C">
        <w:rPr>
          <w:rFonts w:ascii="標楷體" w:hAnsi="標楷體" w:hint="eastAsia"/>
        </w:rPr>
        <w:t>4</w:t>
      </w:r>
      <w:proofErr w:type="gramStart"/>
      <w:r w:rsidR="00CC4A8C">
        <w:rPr>
          <w:rFonts w:ascii="標楷體" w:hAnsi="標楷體" w:hint="eastAsia"/>
        </w:rPr>
        <w:t>小題選3小題</w:t>
      </w:r>
      <w:proofErr w:type="gramEnd"/>
      <w:r>
        <w:rPr>
          <w:rFonts w:ascii="標楷體" w:hAnsi="標楷體" w:hint="eastAsia"/>
        </w:rPr>
        <w:t>)</w:t>
      </w:r>
      <w:r>
        <w:t>：由所長召集命題委員共同命題</w:t>
      </w:r>
      <w:r w:rsidRPr="009E7B22">
        <w:t>，</w:t>
      </w:r>
      <w:proofErr w:type="gramStart"/>
      <w:r w:rsidRPr="00BB3E0F">
        <w:rPr>
          <w:rFonts w:hint="eastAsia"/>
        </w:rPr>
        <w:t>每小題</w:t>
      </w:r>
      <w:proofErr w:type="gramEnd"/>
      <w:r w:rsidRPr="00BB3E0F">
        <w:t>take home</w:t>
      </w:r>
      <w:proofErr w:type="gramStart"/>
      <w:r w:rsidRPr="00BB3E0F">
        <w:rPr>
          <w:rFonts w:hint="eastAsia"/>
        </w:rPr>
        <w:t>一週</w:t>
      </w:r>
      <w:proofErr w:type="gramEnd"/>
      <w:r w:rsidRPr="00BB3E0F">
        <w:rPr>
          <w:rFonts w:hint="eastAsia"/>
        </w:rPr>
        <w:t>，</w:t>
      </w:r>
      <w:proofErr w:type="gramStart"/>
      <w:r w:rsidRPr="00BB3E0F">
        <w:rPr>
          <w:rFonts w:hint="eastAsia"/>
        </w:rPr>
        <w:t>每小題以</w:t>
      </w:r>
      <w:proofErr w:type="gramEnd"/>
      <w:r w:rsidRPr="00BB3E0F">
        <w:t>5-10</w:t>
      </w:r>
      <w:r w:rsidRPr="00BB3E0F">
        <w:rPr>
          <w:rFonts w:hint="eastAsia"/>
        </w:rPr>
        <w:t>頁為限，若抄襲</w:t>
      </w:r>
      <w:proofErr w:type="gramStart"/>
      <w:r w:rsidRPr="00BB3E0F">
        <w:rPr>
          <w:rFonts w:hint="eastAsia"/>
        </w:rPr>
        <w:t>則整科以</w:t>
      </w:r>
      <w:proofErr w:type="gramEnd"/>
      <w:r w:rsidRPr="00BB3E0F">
        <w:rPr>
          <w:rFonts w:hint="eastAsia"/>
        </w:rPr>
        <w:t>不及格計算</w:t>
      </w:r>
      <w:r w:rsidRPr="009E7B22">
        <w:t>，每一學期考一次，考試時間為每年</w:t>
      </w:r>
      <w:r w:rsidRPr="009E7B22">
        <w:t>4</w:t>
      </w:r>
      <w:r w:rsidRPr="009E7B22">
        <w:t>月和</w:t>
      </w:r>
      <w:r w:rsidRPr="009E7B22">
        <w:t>10</w:t>
      </w:r>
      <w:r w:rsidRPr="009E7B22">
        <w:t>月，考試前一個月提出申請。</w:t>
      </w:r>
    </w:p>
    <w:p w:rsidR="0015535E" w:rsidRPr="00FC4E5C" w:rsidRDefault="0015535E" w:rsidP="0015535E">
      <w:pPr>
        <w:pStyle w:val="1"/>
        <w:ind w:leftChars="0" w:left="9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C4E5C">
        <w:rPr>
          <w:rFonts w:ascii="標楷體" w:eastAsia="標楷體" w:hAnsi="標楷體" w:hint="eastAsia"/>
        </w:rPr>
        <w:t>學習與評量</w:t>
      </w:r>
    </w:p>
    <w:p w:rsidR="0015535E" w:rsidRPr="00FC4E5C" w:rsidRDefault="0015535E" w:rsidP="0015535E">
      <w:pPr>
        <w:pStyle w:val="1"/>
        <w:ind w:leftChars="0" w:left="9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C4E5C">
        <w:rPr>
          <w:rFonts w:ascii="標楷體" w:eastAsia="標楷體" w:hAnsi="標楷體" w:hint="eastAsia"/>
        </w:rPr>
        <w:t>課程與教學</w:t>
      </w:r>
    </w:p>
    <w:p w:rsidR="0015535E" w:rsidRPr="00FC4E5C" w:rsidRDefault="0015535E" w:rsidP="0015535E">
      <w:pPr>
        <w:pStyle w:val="1"/>
        <w:ind w:leftChars="0" w:left="9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3.科學哲學</w:t>
      </w:r>
    </w:p>
    <w:p w:rsidR="0015535E" w:rsidRDefault="0015535E" w:rsidP="0015535E">
      <w:pPr>
        <w:pStyle w:val="1"/>
        <w:ind w:leftChars="0" w:left="9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FC4E5C">
        <w:rPr>
          <w:rFonts w:ascii="標楷體" w:eastAsia="標楷體" w:hAnsi="標楷體" w:hint="eastAsia"/>
        </w:rPr>
        <w:t>師資培育</w:t>
      </w:r>
    </w:p>
    <w:p w:rsidR="00CC4A8C" w:rsidRPr="004F00CA" w:rsidRDefault="00CC4A8C" w:rsidP="00CC4A8C">
      <w:pPr>
        <w:pStyle w:val="1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F00CA">
        <w:rPr>
          <w:rFonts w:ascii="Times New Roman" w:eastAsia="標楷體" w:hAnsi="標楷體"/>
          <w:szCs w:val="24"/>
        </w:rPr>
        <w:t>科學教育研究法</w:t>
      </w:r>
      <w:r w:rsidRPr="00CC4A8C">
        <w:rPr>
          <w:rFonts w:ascii="Times New Roman" w:eastAsia="標楷體" w:hAnsi="標楷體" w:hint="eastAsia"/>
          <w:szCs w:val="24"/>
        </w:rPr>
        <w:t>（</w:t>
      </w:r>
      <w:r w:rsidR="00922737">
        <w:rPr>
          <w:rFonts w:ascii="Times New Roman" w:eastAsia="標楷體" w:hAnsi="標楷體" w:hint="eastAsia"/>
          <w:szCs w:val="24"/>
        </w:rPr>
        <w:t>4</w:t>
      </w:r>
      <w:r w:rsidR="00922737">
        <w:rPr>
          <w:rFonts w:ascii="Times New Roman" w:eastAsia="標楷體" w:hAnsi="標楷體" w:hint="eastAsia"/>
          <w:szCs w:val="24"/>
        </w:rPr>
        <w:t>小題選</w:t>
      </w:r>
      <w:r w:rsidR="00922737">
        <w:rPr>
          <w:rFonts w:ascii="Times New Roman" w:eastAsia="標楷體" w:hAnsi="標楷體" w:hint="eastAsia"/>
          <w:szCs w:val="24"/>
        </w:rPr>
        <w:t>2</w:t>
      </w:r>
      <w:r w:rsidR="00922737">
        <w:rPr>
          <w:rFonts w:ascii="Times New Roman" w:eastAsia="標楷體" w:hAnsi="標楷體" w:hint="eastAsia"/>
          <w:szCs w:val="24"/>
        </w:rPr>
        <w:t>小題）</w:t>
      </w:r>
      <w:r w:rsidRPr="00CC4A8C">
        <w:rPr>
          <w:rFonts w:ascii="Times New Roman" w:eastAsia="標楷體" w:hAnsi="標楷體"/>
          <w:szCs w:val="24"/>
        </w:rPr>
        <w:t>：</w:t>
      </w:r>
      <w:r w:rsidRPr="004F00CA">
        <w:rPr>
          <w:rFonts w:ascii="Times New Roman" w:eastAsia="標楷體" w:hAnsi="標楷體"/>
          <w:szCs w:val="24"/>
        </w:rPr>
        <w:t>由指導教授推薦命題委員（委員至少二位），再由所辦通知命題委員命題</w:t>
      </w:r>
      <w:r w:rsidR="00922737">
        <w:rPr>
          <w:rFonts w:ascii="Times New Roman" w:eastAsia="標楷體" w:hAnsi="標楷體"/>
          <w:szCs w:val="24"/>
        </w:rPr>
        <w:t>，</w:t>
      </w:r>
      <w:r w:rsidRPr="004F00CA">
        <w:rPr>
          <w:rFonts w:ascii="Times New Roman" w:eastAsia="標楷體" w:hAnsi="標楷體"/>
          <w:szCs w:val="24"/>
        </w:rPr>
        <w:t>考試前一個月提出申請。</w:t>
      </w:r>
    </w:p>
    <w:p w:rsidR="00CC4A8C" w:rsidRDefault="00922737" w:rsidP="00922737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質的研究法</w:t>
      </w:r>
    </w:p>
    <w:p w:rsidR="00922737" w:rsidRDefault="00922737" w:rsidP="00922737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量的研究法</w:t>
      </w:r>
    </w:p>
    <w:p w:rsidR="00922737" w:rsidRPr="006B74E4" w:rsidRDefault="00922737" w:rsidP="00922737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B74E4">
        <w:rPr>
          <w:rFonts w:ascii="Times New Roman" w:eastAsia="標楷體" w:hAnsi="標楷體" w:hint="eastAsia"/>
          <w:szCs w:val="24"/>
        </w:rPr>
        <w:t>數理專業科目</w:t>
      </w:r>
    </w:p>
    <w:p w:rsidR="00922737" w:rsidRPr="006B74E4" w:rsidRDefault="00922737" w:rsidP="00922737">
      <w:pPr>
        <w:pStyle w:val="1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B74E4">
        <w:rPr>
          <w:rFonts w:ascii="Times New Roman" w:eastAsia="標楷體" w:hAnsi="標楷體" w:hint="eastAsia"/>
          <w:szCs w:val="24"/>
        </w:rPr>
        <w:t>指導教授題</w:t>
      </w:r>
    </w:p>
    <w:p w:rsidR="0015535E" w:rsidRPr="006B74E4" w:rsidRDefault="0015535E" w:rsidP="0015535E">
      <w:pPr>
        <w:pStyle w:val="a3"/>
        <w:numPr>
          <w:ilvl w:val="1"/>
          <w:numId w:val="3"/>
        </w:numPr>
        <w:ind w:leftChars="0" w:left="1276" w:hanging="796"/>
        <w:rPr>
          <w:sz w:val="20"/>
          <w:szCs w:val="20"/>
          <w:u w:val="single"/>
        </w:rPr>
      </w:pPr>
      <w:r w:rsidRPr="006B74E4">
        <w:rPr>
          <w:sz w:val="20"/>
          <w:szCs w:val="20"/>
        </w:rPr>
        <w:t>科學教育專論</w:t>
      </w:r>
      <w:r w:rsidR="00CC4A8C" w:rsidRPr="006B74E4">
        <w:rPr>
          <w:rFonts w:hint="eastAsia"/>
          <w:sz w:val="20"/>
          <w:szCs w:val="20"/>
        </w:rPr>
        <w:t>、科學教育研究法</w:t>
      </w:r>
      <w:r w:rsidRPr="006B74E4">
        <w:rPr>
          <w:sz w:val="20"/>
          <w:szCs w:val="20"/>
        </w:rPr>
        <w:t>評量準則以</w:t>
      </w:r>
      <w:r w:rsidRPr="006B74E4">
        <w:rPr>
          <w:sz w:val="20"/>
          <w:szCs w:val="20"/>
        </w:rPr>
        <w:t>70</w:t>
      </w:r>
      <w:r w:rsidRPr="006B74E4">
        <w:rPr>
          <w:sz w:val="20"/>
          <w:szCs w:val="20"/>
        </w:rPr>
        <w:t>分為及格，</w:t>
      </w:r>
      <w:r w:rsidRPr="006B74E4">
        <w:rPr>
          <w:rFonts w:hint="eastAsia"/>
          <w:sz w:val="20"/>
          <w:szCs w:val="20"/>
          <w:u w:val="single"/>
        </w:rPr>
        <w:t>不</w:t>
      </w:r>
      <w:r w:rsidRPr="006B74E4">
        <w:rPr>
          <w:sz w:val="20"/>
          <w:szCs w:val="20"/>
          <w:u w:val="single"/>
        </w:rPr>
        <w:t>及格者，</w:t>
      </w:r>
      <w:proofErr w:type="gramStart"/>
      <w:r w:rsidRPr="006B74E4">
        <w:rPr>
          <w:sz w:val="20"/>
          <w:szCs w:val="20"/>
          <w:u w:val="single"/>
        </w:rPr>
        <w:t>需整科全部</w:t>
      </w:r>
      <w:proofErr w:type="gramEnd"/>
      <w:r w:rsidRPr="006B74E4">
        <w:rPr>
          <w:sz w:val="20"/>
          <w:szCs w:val="20"/>
          <w:u w:val="single"/>
        </w:rPr>
        <w:t>重考，重考以一次為限，</w:t>
      </w:r>
      <w:r w:rsidRPr="006B74E4">
        <w:rPr>
          <w:rFonts w:hint="eastAsia"/>
          <w:sz w:val="20"/>
          <w:szCs w:val="20"/>
          <w:u w:val="single"/>
        </w:rPr>
        <w:t>不再有補寫制度，</w:t>
      </w:r>
      <w:r w:rsidRPr="006B74E4">
        <w:rPr>
          <w:sz w:val="20"/>
          <w:szCs w:val="20"/>
          <w:u w:val="single"/>
        </w:rPr>
        <w:t>重考時間依</w:t>
      </w:r>
      <w:r w:rsidRPr="006B74E4">
        <w:rPr>
          <w:rFonts w:hint="eastAsia"/>
          <w:sz w:val="20"/>
          <w:szCs w:val="20"/>
          <w:u w:val="single"/>
        </w:rPr>
        <w:t>本</w:t>
      </w:r>
      <w:r w:rsidRPr="006B74E4">
        <w:rPr>
          <w:sz w:val="20"/>
          <w:szCs w:val="20"/>
          <w:u w:val="single"/>
        </w:rPr>
        <w:t>所規定辦理。</w:t>
      </w:r>
    </w:p>
    <w:p w:rsidR="0015535E" w:rsidRPr="006B74E4" w:rsidRDefault="0015535E" w:rsidP="0015535E">
      <w:pPr>
        <w:pStyle w:val="a3"/>
        <w:numPr>
          <w:ilvl w:val="1"/>
          <w:numId w:val="3"/>
        </w:numPr>
        <w:ind w:leftChars="0" w:left="1276" w:hanging="796"/>
        <w:rPr>
          <w:sz w:val="20"/>
          <w:szCs w:val="20"/>
        </w:rPr>
      </w:pPr>
      <w:r w:rsidRPr="006B74E4">
        <w:rPr>
          <w:sz w:val="20"/>
          <w:szCs w:val="20"/>
        </w:rPr>
        <w:t>本所博士班資格考開放發表期刊論文可抵免資格考科目，</w:t>
      </w:r>
      <w:r w:rsidRPr="006B74E4">
        <w:rPr>
          <w:sz w:val="20"/>
          <w:szCs w:val="20"/>
        </w:rPr>
        <w:t>SCI/SSCI/TSSCI</w:t>
      </w:r>
      <w:r w:rsidRPr="006B74E4">
        <w:rPr>
          <w:sz w:val="20"/>
          <w:szCs w:val="20"/>
        </w:rPr>
        <w:t>一篇可抵一</w:t>
      </w:r>
      <w:r w:rsidRPr="006B74E4">
        <w:rPr>
          <w:b/>
          <w:sz w:val="20"/>
          <w:szCs w:val="20"/>
        </w:rPr>
        <w:t>大</w:t>
      </w:r>
      <w:r w:rsidRPr="006B74E4">
        <w:rPr>
          <w:sz w:val="20"/>
          <w:szCs w:val="20"/>
        </w:rPr>
        <w:t>科（需為通訊作者或指導教授外第一作者），若有二篇則可全抵。國內大型研討會發表一篇</w:t>
      </w:r>
      <w:proofErr w:type="gramStart"/>
      <w:r w:rsidRPr="006B74E4">
        <w:rPr>
          <w:sz w:val="20"/>
          <w:szCs w:val="20"/>
        </w:rPr>
        <w:t>可抵科教</w:t>
      </w:r>
      <w:proofErr w:type="gramEnd"/>
      <w:r w:rsidRPr="006B74E4">
        <w:rPr>
          <w:sz w:val="20"/>
          <w:szCs w:val="20"/>
        </w:rPr>
        <w:t>專論一小題，最多可抵二小題。國際重要研討會英文口頭發表實徵</w:t>
      </w:r>
      <w:proofErr w:type="gramStart"/>
      <w:r w:rsidRPr="006B74E4">
        <w:rPr>
          <w:sz w:val="20"/>
          <w:szCs w:val="20"/>
        </w:rPr>
        <w:t>論文抵科教</w:t>
      </w:r>
      <w:proofErr w:type="gramEnd"/>
      <w:r w:rsidRPr="006B74E4">
        <w:rPr>
          <w:sz w:val="20"/>
          <w:szCs w:val="20"/>
        </w:rPr>
        <w:t>專論或研究法（</w:t>
      </w:r>
      <w:r w:rsidRPr="006B74E4">
        <w:rPr>
          <w:b/>
          <w:sz w:val="20"/>
          <w:szCs w:val="20"/>
        </w:rPr>
        <w:t>一篇抵一小題，</w:t>
      </w:r>
      <w:r w:rsidRPr="006B74E4">
        <w:rPr>
          <w:sz w:val="20"/>
          <w:szCs w:val="20"/>
        </w:rPr>
        <w:t>合計</w:t>
      </w:r>
      <w:r w:rsidR="00CC4A8C" w:rsidRPr="006B74E4">
        <w:rPr>
          <w:rFonts w:hint="eastAsia"/>
          <w:b/>
          <w:sz w:val="20"/>
          <w:szCs w:val="20"/>
        </w:rPr>
        <w:t>最多</w:t>
      </w:r>
      <w:r w:rsidRPr="006B74E4">
        <w:rPr>
          <w:sz w:val="20"/>
          <w:szCs w:val="20"/>
        </w:rPr>
        <w:t>可抵三小題）；國際重要研討會英文海報發表實徵論文二次</w:t>
      </w:r>
      <w:proofErr w:type="gramStart"/>
      <w:r w:rsidRPr="006B74E4">
        <w:rPr>
          <w:sz w:val="20"/>
          <w:szCs w:val="20"/>
        </w:rPr>
        <w:t>可抵科教</w:t>
      </w:r>
      <w:proofErr w:type="gramEnd"/>
      <w:r w:rsidRPr="006B74E4">
        <w:rPr>
          <w:sz w:val="20"/>
          <w:szCs w:val="20"/>
        </w:rPr>
        <w:t>專論或研究法一小題，</w:t>
      </w:r>
      <w:r w:rsidR="00CC4A8C" w:rsidRPr="006B74E4">
        <w:rPr>
          <w:rFonts w:hint="eastAsia"/>
          <w:b/>
          <w:sz w:val="20"/>
          <w:szCs w:val="20"/>
        </w:rPr>
        <w:t>合計</w:t>
      </w:r>
      <w:r w:rsidRPr="006B74E4">
        <w:rPr>
          <w:sz w:val="20"/>
          <w:szCs w:val="20"/>
        </w:rPr>
        <w:t>最多可抵一小題。</w:t>
      </w:r>
      <w:proofErr w:type="gramStart"/>
      <w:r w:rsidRPr="006B74E4">
        <w:rPr>
          <w:sz w:val="20"/>
          <w:szCs w:val="20"/>
        </w:rPr>
        <w:t>抵免或選擇</w:t>
      </w:r>
      <w:proofErr w:type="gramEnd"/>
      <w:r w:rsidRPr="006B74E4">
        <w:rPr>
          <w:sz w:val="20"/>
          <w:szCs w:val="20"/>
        </w:rPr>
        <w:t>科目、</w:t>
      </w:r>
      <w:proofErr w:type="gramStart"/>
      <w:r w:rsidRPr="006B74E4">
        <w:rPr>
          <w:sz w:val="20"/>
          <w:szCs w:val="20"/>
        </w:rPr>
        <w:t>小題以及</w:t>
      </w:r>
      <w:proofErr w:type="gramEnd"/>
      <w:r w:rsidRPr="006B74E4">
        <w:rPr>
          <w:sz w:val="20"/>
          <w:szCs w:val="20"/>
        </w:rPr>
        <w:t>數量需經指導教授同意</w:t>
      </w:r>
      <w:bookmarkStart w:id="0" w:name="OLE_LINK36"/>
      <w:r w:rsidRPr="006B74E4">
        <w:rPr>
          <w:sz w:val="20"/>
          <w:szCs w:val="20"/>
        </w:rPr>
        <w:t>（</w:t>
      </w:r>
      <w:r w:rsidRPr="006B74E4">
        <w:rPr>
          <w:sz w:val="20"/>
          <w:szCs w:val="20"/>
        </w:rPr>
        <w:t>1020515</w:t>
      </w:r>
      <w:r w:rsidRPr="006B74E4">
        <w:rPr>
          <w:sz w:val="20"/>
          <w:szCs w:val="20"/>
        </w:rPr>
        <w:t>所</w:t>
      </w:r>
      <w:proofErr w:type="gramStart"/>
      <w:r w:rsidRPr="006B74E4">
        <w:rPr>
          <w:sz w:val="20"/>
          <w:szCs w:val="20"/>
        </w:rPr>
        <w:t>務</w:t>
      </w:r>
      <w:proofErr w:type="gramEnd"/>
      <w:r w:rsidRPr="006B74E4">
        <w:rPr>
          <w:sz w:val="20"/>
          <w:szCs w:val="20"/>
        </w:rPr>
        <w:t>會議過）</w:t>
      </w:r>
      <w:bookmarkEnd w:id="0"/>
    </w:p>
    <w:p w:rsidR="006F5907" w:rsidRPr="006B74E4" w:rsidRDefault="006F5907" w:rsidP="006F5907">
      <w:pPr>
        <w:pStyle w:val="a3"/>
        <w:numPr>
          <w:ilvl w:val="1"/>
          <w:numId w:val="3"/>
        </w:numPr>
        <w:ind w:leftChars="0" w:left="1276" w:hanging="796"/>
        <w:rPr>
          <w:sz w:val="20"/>
          <w:szCs w:val="20"/>
        </w:rPr>
      </w:pPr>
      <w:r w:rsidRPr="006B74E4">
        <w:rPr>
          <w:rFonts w:ascii="標楷體" w:hint="eastAsia"/>
          <w:sz w:val="20"/>
          <w:szCs w:val="20"/>
        </w:rPr>
        <w:t>申請資格考之全部</w:t>
      </w:r>
      <w:proofErr w:type="gramStart"/>
      <w:r w:rsidRPr="006B74E4">
        <w:rPr>
          <w:rFonts w:ascii="標楷體" w:hint="eastAsia"/>
          <w:sz w:val="20"/>
          <w:szCs w:val="20"/>
        </w:rPr>
        <w:t>抵免者需</w:t>
      </w:r>
      <w:proofErr w:type="gramEnd"/>
      <w:r w:rsidRPr="006B74E4">
        <w:rPr>
          <w:rFonts w:ascii="標楷體" w:hint="eastAsia"/>
          <w:sz w:val="20"/>
          <w:szCs w:val="20"/>
        </w:rPr>
        <w:t>至少有一篇TSSCI以上的期刊文章，方可申請全部</w:t>
      </w:r>
      <w:proofErr w:type="gramStart"/>
      <w:r w:rsidRPr="006B74E4">
        <w:rPr>
          <w:rFonts w:ascii="標楷體" w:hint="eastAsia"/>
          <w:sz w:val="20"/>
          <w:szCs w:val="20"/>
        </w:rPr>
        <w:t>資格考抵免</w:t>
      </w:r>
      <w:proofErr w:type="gramEnd"/>
      <w:r w:rsidRPr="006B74E4">
        <w:rPr>
          <w:rFonts w:ascii="標楷體" w:hint="eastAsia"/>
          <w:sz w:val="20"/>
          <w:szCs w:val="20"/>
        </w:rPr>
        <w:t>。</w:t>
      </w:r>
      <w:r w:rsidRPr="006B74E4">
        <w:rPr>
          <w:sz w:val="20"/>
          <w:szCs w:val="20"/>
        </w:rPr>
        <w:t>（</w:t>
      </w:r>
      <w:r w:rsidRPr="006B74E4">
        <w:rPr>
          <w:sz w:val="20"/>
          <w:szCs w:val="20"/>
        </w:rPr>
        <w:t>10</w:t>
      </w:r>
      <w:r w:rsidRPr="006B74E4">
        <w:rPr>
          <w:rFonts w:hint="eastAsia"/>
          <w:sz w:val="20"/>
          <w:szCs w:val="20"/>
        </w:rPr>
        <w:t>30610</w:t>
      </w:r>
      <w:r w:rsidRPr="006B74E4">
        <w:rPr>
          <w:sz w:val="20"/>
          <w:szCs w:val="20"/>
        </w:rPr>
        <w:t>所</w:t>
      </w:r>
      <w:proofErr w:type="gramStart"/>
      <w:r w:rsidRPr="006B74E4">
        <w:rPr>
          <w:sz w:val="20"/>
          <w:szCs w:val="20"/>
        </w:rPr>
        <w:t>務</w:t>
      </w:r>
      <w:proofErr w:type="gramEnd"/>
      <w:r w:rsidRPr="006B74E4">
        <w:rPr>
          <w:sz w:val="20"/>
          <w:szCs w:val="20"/>
        </w:rPr>
        <w:t>會議過）</w:t>
      </w:r>
    </w:p>
    <w:p w:rsidR="006F5907" w:rsidRPr="006B74E4" w:rsidRDefault="006F5907" w:rsidP="006F5907">
      <w:pPr>
        <w:pStyle w:val="a3"/>
        <w:numPr>
          <w:ilvl w:val="1"/>
          <w:numId w:val="3"/>
        </w:numPr>
        <w:ind w:leftChars="0" w:left="1276" w:hanging="796"/>
        <w:rPr>
          <w:sz w:val="20"/>
          <w:szCs w:val="20"/>
        </w:rPr>
      </w:pPr>
      <w:r w:rsidRPr="006B74E4">
        <w:rPr>
          <w:rFonts w:ascii="標楷體" w:hint="eastAsia"/>
          <w:sz w:val="20"/>
          <w:szCs w:val="20"/>
        </w:rPr>
        <w:lastRenderedPageBreak/>
        <w:t>研究生申請研討會論文抵免資格考，合計最多僅可抵免3</w:t>
      </w:r>
      <w:proofErr w:type="gramStart"/>
      <w:r w:rsidRPr="006B74E4">
        <w:rPr>
          <w:rFonts w:ascii="標楷體" w:hint="eastAsia"/>
          <w:sz w:val="20"/>
          <w:szCs w:val="20"/>
        </w:rPr>
        <w:t>小題</w:t>
      </w:r>
      <w:proofErr w:type="gramEnd"/>
      <w:r w:rsidRPr="006B74E4">
        <w:rPr>
          <w:rFonts w:ascii="標楷體" w:hint="eastAsia"/>
          <w:sz w:val="20"/>
          <w:szCs w:val="20"/>
        </w:rPr>
        <w:t>（2科考科共5小題，僅能抵免其中的3小題）</w:t>
      </w:r>
      <w:r w:rsidRPr="006B74E4">
        <w:rPr>
          <w:sz w:val="20"/>
          <w:szCs w:val="20"/>
        </w:rPr>
        <w:t>（</w:t>
      </w:r>
      <w:r w:rsidRPr="006B74E4">
        <w:rPr>
          <w:sz w:val="20"/>
          <w:szCs w:val="20"/>
        </w:rPr>
        <w:t>10</w:t>
      </w:r>
      <w:r w:rsidRPr="006B74E4">
        <w:rPr>
          <w:rFonts w:hint="eastAsia"/>
          <w:sz w:val="20"/>
          <w:szCs w:val="20"/>
        </w:rPr>
        <w:t>30610</w:t>
      </w:r>
      <w:r w:rsidRPr="006B74E4">
        <w:rPr>
          <w:sz w:val="20"/>
          <w:szCs w:val="20"/>
        </w:rPr>
        <w:t>所</w:t>
      </w:r>
      <w:proofErr w:type="gramStart"/>
      <w:r w:rsidRPr="006B74E4">
        <w:rPr>
          <w:sz w:val="20"/>
          <w:szCs w:val="20"/>
        </w:rPr>
        <w:t>務</w:t>
      </w:r>
      <w:proofErr w:type="gramEnd"/>
      <w:r w:rsidRPr="006B74E4">
        <w:rPr>
          <w:sz w:val="20"/>
          <w:szCs w:val="20"/>
        </w:rPr>
        <w:t>會議過）</w:t>
      </w:r>
    </w:p>
    <w:p w:rsidR="0015535E" w:rsidRPr="006B74E4" w:rsidRDefault="006B3CDF" w:rsidP="006B74E4">
      <w:pPr>
        <w:pStyle w:val="a3"/>
        <w:numPr>
          <w:ilvl w:val="1"/>
          <w:numId w:val="3"/>
        </w:numPr>
        <w:ind w:leftChars="0" w:left="1276" w:hanging="85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>以文章抵資格考者，需根據文章內容提出</w:t>
      </w:r>
      <w:r w:rsidRPr="006B74E4">
        <w:rPr>
          <w:rFonts w:hint="eastAsia"/>
          <w:sz w:val="20"/>
          <w:szCs w:val="20"/>
        </w:rPr>
        <w:t>15</w:t>
      </w:r>
      <w:r w:rsidRPr="006B74E4">
        <w:rPr>
          <w:rFonts w:hint="eastAsia"/>
          <w:sz w:val="20"/>
          <w:szCs w:val="20"/>
        </w:rPr>
        <w:t>分鐘的口頭報告，作為該資格考的成</w:t>
      </w:r>
      <w:bookmarkStart w:id="1" w:name="_GoBack"/>
      <w:bookmarkEnd w:id="1"/>
      <w:r w:rsidRPr="006B74E4">
        <w:rPr>
          <w:rFonts w:hint="eastAsia"/>
          <w:sz w:val="20"/>
          <w:szCs w:val="20"/>
        </w:rPr>
        <w:t>績</w:t>
      </w:r>
      <w:r w:rsidR="0015535E" w:rsidRPr="006B74E4">
        <w:rPr>
          <w:rFonts w:hint="eastAsia"/>
          <w:sz w:val="20"/>
          <w:szCs w:val="20"/>
        </w:rPr>
        <w:t>。</w:t>
      </w:r>
      <w:proofErr w:type="gramStart"/>
      <w:r w:rsidR="00302C40" w:rsidRPr="006B74E4">
        <w:rPr>
          <w:rFonts w:hint="eastAsia"/>
          <w:sz w:val="20"/>
          <w:szCs w:val="20"/>
        </w:rPr>
        <w:t>（</w:t>
      </w:r>
      <w:proofErr w:type="gramEnd"/>
      <w:r w:rsidR="00302C40" w:rsidRPr="006B74E4">
        <w:rPr>
          <w:rFonts w:hint="eastAsia"/>
          <w:sz w:val="20"/>
          <w:szCs w:val="20"/>
        </w:rPr>
        <w:t>口頭報告的內容，不再針對發表論文重新報告，擬就發表過程，</w:t>
      </w:r>
      <w:r w:rsidR="00A35F5F" w:rsidRPr="006B74E4">
        <w:rPr>
          <w:rFonts w:hint="eastAsia"/>
          <w:sz w:val="20"/>
          <w:szCs w:val="20"/>
        </w:rPr>
        <w:t>聽眾提問，研究者答覆及研究重要性等提出報告。</w:t>
      </w:r>
      <w:r w:rsidR="00A35F5F" w:rsidRPr="006B74E4">
        <w:rPr>
          <w:rFonts w:hint="eastAsia"/>
          <w:sz w:val="20"/>
          <w:szCs w:val="20"/>
        </w:rPr>
        <w:t>1041008</w:t>
      </w:r>
      <w:r w:rsidR="00A35F5F" w:rsidRPr="006B74E4">
        <w:rPr>
          <w:rFonts w:hint="eastAsia"/>
          <w:sz w:val="20"/>
          <w:szCs w:val="20"/>
        </w:rPr>
        <w:t>所</w:t>
      </w:r>
      <w:proofErr w:type="gramStart"/>
      <w:r w:rsidR="00A35F5F" w:rsidRPr="006B74E4">
        <w:rPr>
          <w:rFonts w:hint="eastAsia"/>
          <w:sz w:val="20"/>
          <w:szCs w:val="20"/>
        </w:rPr>
        <w:t>務</w:t>
      </w:r>
      <w:proofErr w:type="gramEnd"/>
      <w:r w:rsidR="00A35F5F" w:rsidRPr="006B74E4">
        <w:rPr>
          <w:rFonts w:hint="eastAsia"/>
          <w:sz w:val="20"/>
          <w:szCs w:val="20"/>
        </w:rPr>
        <w:t>會議修正通過。</w:t>
      </w:r>
      <w:r w:rsidR="00302C40" w:rsidRPr="006B74E4">
        <w:rPr>
          <w:rFonts w:hint="eastAsia"/>
          <w:sz w:val="20"/>
          <w:szCs w:val="20"/>
        </w:rPr>
        <w:t>）</w:t>
      </w:r>
    </w:p>
    <w:p w:rsidR="0015535E" w:rsidRPr="006B74E4" w:rsidRDefault="0015535E" w:rsidP="0015535E">
      <w:pPr>
        <w:pStyle w:val="a3"/>
        <w:numPr>
          <w:ilvl w:val="1"/>
          <w:numId w:val="3"/>
        </w:numPr>
        <w:ind w:leftChars="0" w:left="1276" w:hanging="796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>申請以</w:t>
      </w:r>
      <w:r w:rsidRPr="006B74E4">
        <w:rPr>
          <w:sz w:val="20"/>
          <w:szCs w:val="20"/>
        </w:rPr>
        <w:t>發表論文</w:t>
      </w:r>
      <w:r w:rsidRPr="006B74E4">
        <w:rPr>
          <w:rFonts w:hint="eastAsia"/>
          <w:sz w:val="20"/>
          <w:szCs w:val="20"/>
        </w:rPr>
        <w:t>折</w:t>
      </w:r>
      <w:r w:rsidRPr="006B74E4">
        <w:rPr>
          <w:sz w:val="20"/>
          <w:szCs w:val="20"/>
        </w:rPr>
        <w:t>抵資格考</w:t>
      </w:r>
      <w:r w:rsidRPr="006B74E4">
        <w:rPr>
          <w:rFonts w:hint="eastAsia"/>
          <w:sz w:val="20"/>
          <w:szCs w:val="20"/>
        </w:rPr>
        <w:t>者，需於第一次</w:t>
      </w:r>
      <w:r w:rsidR="00206DA4" w:rsidRPr="006B74E4">
        <w:rPr>
          <w:rFonts w:hint="eastAsia"/>
          <w:sz w:val="20"/>
          <w:szCs w:val="20"/>
        </w:rPr>
        <w:t>所內</w:t>
      </w:r>
      <w:r w:rsidRPr="006B74E4">
        <w:rPr>
          <w:rFonts w:hint="eastAsia"/>
          <w:sz w:val="20"/>
          <w:szCs w:val="20"/>
        </w:rPr>
        <w:t>申請時</w:t>
      </w:r>
      <w:proofErr w:type="gramStart"/>
      <w:r w:rsidRPr="006B74E4">
        <w:rPr>
          <w:rFonts w:hint="eastAsia"/>
          <w:sz w:val="20"/>
          <w:szCs w:val="20"/>
        </w:rPr>
        <w:t>提出欲折抵</w:t>
      </w:r>
      <w:proofErr w:type="gramEnd"/>
      <w:r w:rsidRPr="006B74E4">
        <w:rPr>
          <w:rFonts w:hint="eastAsia"/>
          <w:sz w:val="20"/>
          <w:szCs w:val="20"/>
        </w:rPr>
        <w:t>之科目</w:t>
      </w:r>
      <w:r w:rsidR="00CC4A8C" w:rsidRPr="006B74E4">
        <w:rPr>
          <w:rFonts w:hint="eastAsia"/>
          <w:sz w:val="20"/>
          <w:szCs w:val="20"/>
        </w:rPr>
        <w:t>以及論文發表證明</w:t>
      </w:r>
      <w:r w:rsidRPr="006B74E4">
        <w:rPr>
          <w:rFonts w:hint="eastAsia"/>
          <w:sz w:val="20"/>
          <w:szCs w:val="20"/>
        </w:rPr>
        <w:t>（限一次提出申請）。</w:t>
      </w:r>
    </w:p>
    <w:p w:rsidR="005C40AB" w:rsidRPr="006B74E4" w:rsidRDefault="005C40AB" w:rsidP="005C40AB">
      <w:pPr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</w:t>
      </w:r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7</w:t>
      </w:r>
      <w:r w:rsidRPr="006B74E4">
        <w:rPr>
          <w:rFonts w:hint="eastAsia"/>
          <w:sz w:val="20"/>
          <w:szCs w:val="20"/>
        </w:rPr>
        <w:t>、同一篇文章僅能一人申請</w:t>
      </w:r>
      <w:proofErr w:type="gramStart"/>
      <w:r w:rsidRPr="006B74E4">
        <w:rPr>
          <w:rFonts w:hint="eastAsia"/>
          <w:sz w:val="20"/>
          <w:szCs w:val="20"/>
        </w:rPr>
        <w:t>抵免或當</w:t>
      </w:r>
      <w:proofErr w:type="gramEnd"/>
      <w:r w:rsidRPr="006B74E4">
        <w:rPr>
          <w:rFonts w:hint="eastAsia"/>
          <w:sz w:val="20"/>
          <w:szCs w:val="20"/>
        </w:rPr>
        <w:t>畢業條件。</w:t>
      </w:r>
      <w:proofErr w:type="gramStart"/>
      <w:r w:rsidRPr="006B74E4">
        <w:rPr>
          <w:rFonts w:hint="eastAsia"/>
          <w:sz w:val="20"/>
          <w:szCs w:val="20"/>
        </w:rPr>
        <w:t>（</w:t>
      </w:r>
      <w:proofErr w:type="gramEnd"/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7</w:t>
      </w:r>
      <w:r w:rsidRPr="006B74E4">
        <w:rPr>
          <w:rFonts w:hint="eastAsia"/>
          <w:sz w:val="20"/>
          <w:szCs w:val="20"/>
        </w:rPr>
        <w:t>以下為</w:t>
      </w:r>
      <w:r w:rsidRPr="006B74E4">
        <w:rPr>
          <w:rFonts w:hint="eastAsia"/>
          <w:sz w:val="20"/>
          <w:szCs w:val="20"/>
        </w:rPr>
        <w:t>104</w:t>
      </w:r>
      <w:r w:rsidRPr="006B74E4">
        <w:rPr>
          <w:rFonts w:hint="eastAsia"/>
          <w:sz w:val="20"/>
          <w:szCs w:val="20"/>
        </w:rPr>
        <w:t>年</w:t>
      </w:r>
      <w:r w:rsidRPr="006B74E4">
        <w:rPr>
          <w:rFonts w:hint="eastAsia"/>
          <w:sz w:val="20"/>
          <w:szCs w:val="20"/>
        </w:rPr>
        <w:t>11</w:t>
      </w:r>
      <w:r w:rsidRPr="006B74E4">
        <w:rPr>
          <w:rFonts w:hint="eastAsia"/>
          <w:sz w:val="20"/>
          <w:szCs w:val="20"/>
        </w:rPr>
        <w:t>月</w:t>
      </w:r>
      <w:r w:rsidRPr="006B74E4">
        <w:rPr>
          <w:rFonts w:hint="eastAsia"/>
          <w:sz w:val="20"/>
          <w:szCs w:val="20"/>
        </w:rPr>
        <w:t>12</w:t>
      </w:r>
      <w:r w:rsidRPr="006B74E4">
        <w:rPr>
          <w:rFonts w:hint="eastAsia"/>
          <w:sz w:val="20"/>
          <w:szCs w:val="20"/>
        </w:rPr>
        <w:t>日所</w:t>
      </w:r>
    </w:p>
    <w:p w:rsidR="005C40AB" w:rsidRPr="006B74E4" w:rsidRDefault="005C40AB" w:rsidP="005C40AB">
      <w:pPr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        </w:t>
      </w:r>
      <w:proofErr w:type="gramStart"/>
      <w:r w:rsidRPr="006B74E4">
        <w:rPr>
          <w:rFonts w:hint="eastAsia"/>
          <w:sz w:val="20"/>
          <w:szCs w:val="20"/>
        </w:rPr>
        <w:t>務</w:t>
      </w:r>
      <w:proofErr w:type="gramEnd"/>
      <w:r w:rsidRPr="006B74E4">
        <w:rPr>
          <w:rFonts w:hint="eastAsia"/>
          <w:sz w:val="20"/>
          <w:szCs w:val="20"/>
        </w:rPr>
        <w:t>會議修正通過</w:t>
      </w:r>
      <w:proofErr w:type="gramStart"/>
      <w:r w:rsidRPr="006B74E4">
        <w:rPr>
          <w:rFonts w:hint="eastAsia"/>
          <w:sz w:val="20"/>
          <w:szCs w:val="20"/>
        </w:rPr>
        <w:t>）</w:t>
      </w:r>
      <w:proofErr w:type="gramEnd"/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</w:t>
      </w:r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8</w:t>
      </w:r>
      <w:r w:rsidRPr="006B74E4">
        <w:rPr>
          <w:rFonts w:hint="eastAsia"/>
          <w:sz w:val="20"/>
          <w:szCs w:val="20"/>
        </w:rPr>
        <w:t>、本所博士班資格考開放發表期刊論文可抵免資格考科目，</w:t>
      </w:r>
      <w:r w:rsidRPr="006B74E4">
        <w:rPr>
          <w:rFonts w:hint="eastAsia"/>
          <w:sz w:val="20"/>
          <w:szCs w:val="20"/>
        </w:rPr>
        <w:t>SCI/SSCI/TSSCI</w:t>
      </w:r>
      <w:r w:rsidRPr="006B74E4">
        <w:rPr>
          <w:rFonts w:hint="eastAsia"/>
          <w:sz w:val="20"/>
          <w:szCs w:val="20"/>
        </w:rPr>
        <w:t>一篇可抵</w:t>
      </w:r>
      <w:r w:rsidRPr="006B74E4">
        <w:rPr>
          <w:rFonts w:hint="eastAsia"/>
          <w:sz w:val="20"/>
          <w:szCs w:val="20"/>
        </w:rPr>
        <w:t xml:space="preserve"> 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       </w:t>
      </w:r>
      <w:r w:rsidRPr="006B74E4">
        <w:rPr>
          <w:rFonts w:hint="eastAsia"/>
          <w:sz w:val="20"/>
          <w:szCs w:val="20"/>
        </w:rPr>
        <w:t>一大科</w:t>
      </w:r>
      <w:r w:rsidRPr="006B74E4">
        <w:rPr>
          <w:rFonts w:hint="eastAsia"/>
          <w:sz w:val="20"/>
          <w:szCs w:val="20"/>
        </w:rPr>
        <w:t>(</w:t>
      </w:r>
      <w:r w:rsidRPr="006B74E4">
        <w:rPr>
          <w:rFonts w:hint="eastAsia"/>
          <w:sz w:val="20"/>
          <w:szCs w:val="20"/>
        </w:rPr>
        <w:t>需為通訊作者或指導教授外第一作者」，同意其他具有審查機制之期刊，比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       </w:t>
      </w:r>
      <w:r w:rsidRPr="006B74E4">
        <w:rPr>
          <w:rFonts w:hint="eastAsia"/>
          <w:sz w:val="20"/>
          <w:szCs w:val="20"/>
        </w:rPr>
        <w:t>照國際研討會口頭發表，予以抵免資格考，但不能視為畢業條件。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</w:t>
      </w:r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9</w:t>
      </w:r>
      <w:r w:rsidRPr="006B74E4">
        <w:rPr>
          <w:rFonts w:hint="eastAsia"/>
          <w:sz w:val="20"/>
          <w:szCs w:val="20"/>
        </w:rPr>
        <w:t>、研討會發表之文章，僅限一次使用，不可同時抵免資格考與畢業條件；唯發表於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        </w:t>
      </w:r>
      <w:r w:rsidR="00981948" w:rsidRPr="006B74E4">
        <w:rPr>
          <w:rFonts w:hint="eastAsia"/>
          <w:sz w:val="20"/>
          <w:szCs w:val="20"/>
        </w:rPr>
        <w:t>SCI/SSCI/TSSCI</w:t>
      </w:r>
      <w:r w:rsidRPr="006B74E4">
        <w:rPr>
          <w:rFonts w:hint="eastAsia"/>
          <w:sz w:val="20"/>
          <w:szCs w:val="20"/>
        </w:rPr>
        <w:t>期刊論文，准於同時抵免資格考與畢業條件，但以一篇為限。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</w:t>
      </w:r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10</w:t>
      </w:r>
      <w:r w:rsidRPr="006B74E4">
        <w:rPr>
          <w:rFonts w:hint="eastAsia"/>
          <w:sz w:val="20"/>
          <w:szCs w:val="20"/>
        </w:rPr>
        <w:t>、使用網路文章抵免資格考，需事先提出申請且出具審查機制證明。</w:t>
      </w:r>
    </w:p>
    <w:p w:rsidR="005C40AB" w:rsidRPr="006B74E4" w:rsidRDefault="005C40AB" w:rsidP="005C40AB">
      <w:pPr>
        <w:pStyle w:val="a3"/>
        <w:ind w:leftChars="0" w:left="0"/>
        <w:rPr>
          <w:sz w:val="20"/>
          <w:szCs w:val="20"/>
        </w:rPr>
      </w:pPr>
      <w:r w:rsidRPr="006B74E4">
        <w:rPr>
          <w:rFonts w:hint="eastAsia"/>
          <w:sz w:val="20"/>
          <w:szCs w:val="20"/>
        </w:rPr>
        <w:t xml:space="preserve">    </w:t>
      </w:r>
      <w:r w:rsidRPr="006B74E4">
        <w:rPr>
          <w:rFonts w:hint="eastAsia"/>
          <w:sz w:val="20"/>
          <w:szCs w:val="20"/>
        </w:rPr>
        <w:t>備註</w:t>
      </w:r>
      <w:r w:rsidRPr="006B74E4">
        <w:rPr>
          <w:rFonts w:hint="eastAsia"/>
          <w:sz w:val="20"/>
          <w:szCs w:val="20"/>
        </w:rPr>
        <w:t>11</w:t>
      </w:r>
      <w:r w:rsidRPr="006B74E4">
        <w:rPr>
          <w:rFonts w:hint="eastAsia"/>
          <w:sz w:val="20"/>
          <w:szCs w:val="20"/>
        </w:rPr>
        <w:t>、博士生提資格考抵免，需於每學期開學第一週內提出申請。</w:t>
      </w:r>
    </w:p>
    <w:p w:rsidR="00CC4A8C" w:rsidRPr="00BB3E0F" w:rsidRDefault="00CC4A8C" w:rsidP="00CC4A8C">
      <w:pPr>
        <w:pStyle w:val="a3"/>
        <w:ind w:leftChars="0" w:left="1276"/>
        <w:rPr>
          <w:sz w:val="20"/>
          <w:szCs w:val="20"/>
        </w:rPr>
      </w:pPr>
    </w:p>
    <w:p w:rsidR="0015535E" w:rsidRPr="009E7B22" w:rsidRDefault="0015535E" w:rsidP="0015535E">
      <w:pPr>
        <w:pStyle w:val="a3"/>
        <w:numPr>
          <w:ilvl w:val="0"/>
          <w:numId w:val="1"/>
        </w:numPr>
        <w:ind w:leftChars="0" w:left="567" w:hanging="567"/>
      </w:pPr>
      <w:r w:rsidRPr="009E7B22">
        <w:t>考試申請時間</w:t>
      </w:r>
      <w:r w:rsidRPr="009E7B22">
        <w:rPr>
          <w:rFonts w:hint="eastAsia"/>
        </w:rPr>
        <w:t>：</w:t>
      </w:r>
      <w:r w:rsidRPr="009E7B22">
        <w:t>博士班資格考試依本校行事曆規定之時間實施之，</w:t>
      </w:r>
      <w:r w:rsidRPr="00CC4A8C">
        <w:t>考試期限從該學期</w:t>
      </w:r>
      <w:r w:rsidR="00206DA4" w:rsidRPr="00CC4A8C">
        <w:rPr>
          <w:rFonts w:hint="eastAsia"/>
        </w:rPr>
        <w:t>向所內第一次</w:t>
      </w:r>
      <w:r w:rsidRPr="00CC4A8C">
        <w:t>申請截止日期起至次年申請截止日止，</w:t>
      </w:r>
      <w:proofErr w:type="gramStart"/>
      <w:r w:rsidRPr="00CC4A8C">
        <w:t>一</w:t>
      </w:r>
      <w:proofErr w:type="gramEnd"/>
      <w:r>
        <w:t>年內將本所規定</w:t>
      </w:r>
      <w:r>
        <w:rPr>
          <w:rFonts w:hint="eastAsia"/>
        </w:rPr>
        <w:t>二</w:t>
      </w:r>
      <w:r w:rsidRPr="009E7B22">
        <w:t>門科目完成，重考以一次為限。</w:t>
      </w:r>
    </w:p>
    <w:p w:rsidR="0015535E" w:rsidRDefault="0015535E"/>
    <w:sectPr w:rsidR="0015535E" w:rsidSect="007076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F7" w:rsidRDefault="001402F7" w:rsidP="006B3CDF">
      <w:r>
        <w:separator/>
      </w:r>
    </w:p>
  </w:endnote>
  <w:endnote w:type="continuationSeparator" w:id="0">
    <w:p w:rsidR="001402F7" w:rsidRDefault="001402F7" w:rsidP="006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A4" w:rsidRDefault="00206D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74E4" w:rsidRPr="006B74E4">
      <w:rPr>
        <w:noProof/>
        <w:lang w:val="zh-TW"/>
      </w:rPr>
      <w:t>2</w:t>
    </w:r>
    <w:r>
      <w:fldChar w:fldCharType="end"/>
    </w:r>
  </w:p>
  <w:p w:rsidR="00206DA4" w:rsidRDefault="00206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F7" w:rsidRDefault="001402F7" w:rsidP="006B3CDF">
      <w:r>
        <w:separator/>
      </w:r>
    </w:p>
  </w:footnote>
  <w:footnote w:type="continuationSeparator" w:id="0">
    <w:p w:rsidR="001402F7" w:rsidRDefault="001402F7" w:rsidP="006B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E4"/>
    <w:multiLevelType w:val="hybridMultilevel"/>
    <w:tmpl w:val="BF12B580"/>
    <w:lvl w:ilvl="0" w:tplc="4274EDF6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">
    <w:nsid w:val="0E406EDB"/>
    <w:multiLevelType w:val="hybridMultilevel"/>
    <w:tmpl w:val="EFD8C55C"/>
    <w:lvl w:ilvl="0" w:tplc="84760396">
      <w:start w:val="1"/>
      <w:numFmt w:val="ideographDigital"/>
      <w:lvlText w:val="(%1)"/>
      <w:lvlJc w:val="left"/>
      <w:pPr>
        <w:ind w:left="9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2">
    <w:nsid w:val="1F3A1885"/>
    <w:multiLevelType w:val="hybridMultilevel"/>
    <w:tmpl w:val="AE58E7E2"/>
    <w:lvl w:ilvl="0" w:tplc="722C8BEE">
      <w:start w:val="1"/>
      <w:numFmt w:val="decimal"/>
      <w:lvlText w:val="備註%1、"/>
      <w:lvlJc w:val="left"/>
      <w:pPr>
        <w:ind w:left="480" w:hanging="480"/>
      </w:pPr>
      <w:rPr>
        <w:rFonts w:hint="eastAsia"/>
        <w:sz w:val="20"/>
        <w:szCs w:val="20"/>
      </w:rPr>
    </w:lvl>
    <w:lvl w:ilvl="1" w:tplc="BF0EFB10">
      <w:start w:val="1"/>
      <w:numFmt w:val="decimal"/>
      <w:lvlText w:val="備註%2、"/>
      <w:lvlJc w:val="left"/>
      <w:pPr>
        <w:ind w:left="1189" w:hanging="480"/>
      </w:pPr>
      <w:rPr>
        <w:rFonts w:hint="eastAsia"/>
      </w:rPr>
    </w:lvl>
    <w:lvl w:ilvl="2" w:tplc="50A0604A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0F4A6C"/>
    <w:multiLevelType w:val="hybridMultilevel"/>
    <w:tmpl w:val="C58E69AC"/>
    <w:lvl w:ilvl="0" w:tplc="391A12B6">
      <w:start w:val="1"/>
      <w:numFmt w:val="decimalEnclosedCircl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7A9418C"/>
    <w:multiLevelType w:val="hybridMultilevel"/>
    <w:tmpl w:val="88687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732703"/>
    <w:multiLevelType w:val="hybridMultilevel"/>
    <w:tmpl w:val="C8FC0304"/>
    <w:lvl w:ilvl="0" w:tplc="17EE4F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CC5545C"/>
    <w:multiLevelType w:val="hybridMultilevel"/>
    <w:tmpl w:val="03CC278A"/>
    <w:lvl w:ilvl="0" w:tplc="17EE4F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D365D05"/>
    <w:multiLevelType w:val="hybridMultilevel"/>
    <w:tmpl w:val="C8E453E0"/>
    <w:lvl w:ilvl="0" w:tplc="9A4CD3D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E"/>
    <w:rsid w:val="00000E04"/>
    <w:rsid w:val="00023BFF"/>
    <w:rsid w:val="000D08EF"/>
    <w:rsid w:val="001045ED"/>
    <w:rsid w:val="001402F7"/>
    <w:rsid w:val="0015535E"/>
    <w:rsid w:val="00162432"/>
    <w:rsid w:val="001867F7"/>
    <w:rsid w:val="00206DA4"/>
    <w:rsid w:val="002A1C9B"/>
    <w:rsid w:val="002D6339"/>
    <w:rsid w:val="00302C40"/>
    <w:rsid w:val="003412B8"/>
    <w:rsid w:val="00552082"/>
    <w:rsid w:val="0057290D"/>
    <w:rsid w:val="005960C5"/>
    <w:rsid w:val="005A4463"/>
    <w:rsid w:val="005C40AB"/>
    <w:rsid w:val="005D1D17"/>
    <w:rsid w:val="00605B3D"/>
    <w:rsid w:val="0061777B"/>
    <w:rsid w:val="00637859"/>
    <w:rsid w:val="006B3CDF"/>
    <w:rsid w:val="006B74E4"/>
    <w:rsid w:val="006C3DC1"/>
    <w:rsid w:val="006D65D2"/>
    <w:rsid w:val="006F5907"/>
    <w:rsid w:val="00707616"/>
    <w:rsid w:val="00743E36"/>
    <w:rsid w:val="00847656"/>
    <w:rsid w:val="00882292"/>
    <w:rsid w:val="008C0667"/>
    <w:rsid w:val="00922737"/>
    <w:rsid w:val="00975FBD"/>
    <w:rsid w:val="00981948"/>
    <w:rsid w:val="0098584C"/>
    <w:rsid w:val="009921A2"/>
    <w:rsid w:val="00A35F5F"/>
    <w:rsid w:val="00AF7FA5"/>
    <w:rsid w:val="00B06D65"/>
    <w:rsid w:val="00B136AE"/>
    <w:rsid w:val="00B9171C"/>
    <w:rsid w:val="00C42F4F"/>
    <w:rsid w:val="00C66269"/>
    <w:rsid w:val="00C815F2"/>
    <w:rsid w:val="00CC4A8C"/>
    <w:rsid w:val="00D75031"/>
    <w:rsid w:val="00D91915"/>
    <w:rsid w:val="00F83005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35E"/>
    <w:pPr>
      <w:ind w:leftChars="200" w:left="480"/>
    </w:pPr>
  </w:style>
  <w:style w:type="paragraph" w:customStyle="1" w:styleId="1">
    <w:name w:val="清單段落1"/>
    <w:basedOn w:val="a"/>
    <w:rsid w:val="0015535E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pple-converted-space">
    <w:name w:val="apple-converted-space"/>
    <w:rsid w:val="00B06D65"/>
  </w:style>
  <w:style w:type="paragraph" w:styleId="a4">
    <w:name w:val="header"/>
    <w:basedOn w:val="a"/>
    <w:link w:val="a5"/>
    <w:uiPriority w:val="99"/>
    <w:unhideWhenUsed/>
    <w:rsid w:val="006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B3CDF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B3CDF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A4463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446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35E"/>
    <w:pPr>
      <w:ind w:leftChars="200" w:left="480"/>
    </w:pPr>
  </w:style>
  <w:style w:type="paragraph" w:customStyle="1" w:styleId="1">
    <w:name w:val="清單段落1"/>
    <w:basedOn w:val="a"/>
    <w:rsid w:val="0015535E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pple-converted-space">
    <w:name w:val="apple-converted-space"/>
    <w:rsid w:val="00B06D65"/>
  </w:style>
  <w:style w:type="paragraph" w:styleId="a4">
    <w:name w:val="header"/>
    <w:basedOn w:val="a"/>
    <w:link w:val="a5"/>
    <w:uiPriority w:val="99"/>
    <w:unhideWhenUsed/>
    <w:rsid w:val="006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B3CDF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B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B3CDF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A4463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44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9766-338B-428C-9CAE-9985471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sciedu</dc:creator>
  <cp:lastModifiedBy>user</cp:lastModifiedBy>
  <cp:revision>3</cp:revision>
  <cp:lastPrinted>2018-03-08T04:34:00Z</cp:lastPrinted>
  <dcterms:created xsi:type="dcterms:W3CDTF">2018-05-29T03:09:00Z</dcterms:created>
  <dcterms:modified xsi:type="dcterms:W3CDTF">2018-05-29T03:10:00Z</dcterms:modified>
</cp:coreProperties>
</file>